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u w:val="single"/>
        </w:rPr>
      </w:pPr>
      <w:bookmarkStart w:colFirst="0" w:colLast="0" w:name="_heading=h.p9tdneuxp18n" w:id="0"/>
      <w:bookmarkEnd w:id="0"/>
      <w:r w:rsidDel="00000000" w:rsidR="00000000" w:rsidRPr="00000000">
        <w:rPr>
          <w:u w:val="single"/>
          <w:rtl w:val="0"/>
        </w:rPr>
        <w:t xml:space="preserve">SEGPLAN DICIEMBRE 2025</w:t>
      </w:r>
    </w:p>
    <w:p w:rsidR="00000000" w:rsidDel="00000000" w:rsidP="00000000" w:rsidRDefault="00000000" w:rsidRPr="00000000" w14:paraId="00000002">
      <w:pPr>
        <w:spacing w:after="0" w:lineRule="auto"/>
        <w:jc w:val="center"/>
        <w:rPr>
          <w:b w:val="1"/>
          <w:bCs w:val="1"/>
        </w:rPr>
      </w:pPr>
      <w:r w:rsidDel="00000000" w:rsidR="00000000" w:rsidRPr="00000000">
        <w:rPr>
          <w:b w:val="1"/>
          <w:bCs w:val="1"/>
          <w:rtl w:val="0"/>
        </w:rPr>
        <w:t xml:space="preserve">PROGRAMA DE NEGOCIOS VERDES – BOGOTÁ</w:t>
      </w:r>
    </w:p>
    <w:p w:rsidR="00000000" w:rsidDel="00000000" w:rsidP="00000000" w:rsidRDefault="00000000" w:rsidRPr="00000000" w14:paraId="00000003">
      <w:pPr>
        <w:spacing w:after="0" w:lineRule="auto"/>
        <w:jc w:val="center"/>
        <w:rPr>
          <w:b w:val="1"/>
          <w:bCs w:val="1"/>
          <w:color w:val="ff0000"/>
        </w:rPr>
      </w:pPr>
      <w:r w:rsidDel="00000000" w:rsidR="00000000" w:rsidRPr="00000000">
        <w:rPr>
          <w:rtl w:val="0"/>
        </w:rPr>
      </w:r>
    </w:p>
    <w:p w:rsidR="00000000" w:rsidDel="00000000" w:rsidP="00000000" w:rsidRDefault="00000000" w:rsidRPr="00000000" w14:paraId="00000004">
      <w:pPr>
        <w:spacing w:after="0" w:lineRule="auto"/>
        <w:jc w:val="center"/>
        <w:rPr>
          <w:b w:val="1"/>
          <w:bCs w:val="1"/>
          <w:color w:val="ff0000"/>
        </w:rPr>
      </w:pPr>
      <w:r w:rsidDel="00000000" w:rsidR="00000000" w:rsidRPr="00000000">
        <w:rPr>
          <w:rtl w:val="0"/>
        </w:rPr>
      </w:r>
    </w:p>
    <w:p w:rsidR="00000000" w:rsidDel="00000000" w:rsidP="00000000" w:rsidRDefault="00000000" w:rsidRPr="00000000" w14:paraId="00000005">
      <w:pPr>
        <w:jc w:val="center"/>
        <w:rPr>
          <w:b w:val="1"/>
          <w:bCs w:val="1"/>
        </w:rPr>
      </w:pPr>
      <w:bookmarkStart w:colFirst="0" w:colLast="0" w:name="_heading=h.yug0mggw7vmz" w:id="1"/>
      <w:bookmarkEnd w:id="1"/>
      <w:r w:rsidDel="00000000" w:rsidR="00000000" w:rsidRPr="00000000">
        <w:rPr>
          <w:b w:val="1"/>
          <w:bCs w:val="1"/>
          <w:rtl w:val="0"/>
        </w:rPr>
        <w:t xml:space="preserve">VERIFICACIÓN DE NUEVOS NEGOCIOS VERDES </w:t>
      </w:r>
    </w:p>
    <w:p w:rsidR="00000000" w:rsidDel="00000000" w:rsidP="00000000" w:rsidRDefault="00000000" w:rsidRPr="00000000" w14:paraId="00000006">
      <w:pPr>
        <w:ind w:right="-220"/>
        <w:jc w:val="both"/>
        <w:rPr/>
      </w:pPr>
      <w:r w:rsidDel="00000000" w:rsidR="00000000" w:rsidRPr="00000000">
        <w:rPr>
          <w:rtl w:val="0"/>
        </w:rPr>
        <w:t xml:space="preserve">Durante este periodo, la Ventanilla de Negocios Verdes, llevó a cabo la verificación de dos empresas como negocio verde, las cuales cumplieron con los criterios de sostenibilidad establecidos por el Ministerio de Ambiente y Desarrollo Sostenible, a través del Plan Nacional de Negocios Verdes 2022-2030. Estas empresas recibieron el Aval de Confianza como Negocio Verde, un reconocimiento que respalda su compromiso con el medio ambiente y la sostenibilidad, de acuerdo con los estándares establecidos por dicho plan.</w:t>
      </w:r>
    </w:p>
    <w:p w:rsidR="00000000" w:rsidDel="00000000" w:rsidP="00000000" w:rsidRDefault="00000000" w:rsidRPr="00000000" w14:paraId="00000007">
      <w:pPr>
        <w:ind w:left="360" w:firstLine="0"/>
        <w:rPr/>
      </w:pPr>
      <w:r w:rsidDel="00000000" w:rsidR="00000000" w:rsidRPr="00000000">
        <w:rPr>
          <w:rtl w:val="0"/>
        </w:rPr>
        <w:t xml:space="preserve">Las empresas avaladas como negocio verde en el mes de diciembre/25 fueron:</w:t>
      </w:r>
    </w:p>
    <w:tbl>
      <w:tblPr>
        <w:tblStyle w:val="Table1"/>
        <w:tblpPr w:leftFromText="141" w:rightFromText="141" w:topFromText="0" w:bottomFromText="0" w:vertAnchor="text" w:horzAnchor="text" w:tblpX="0" w:tblpY="148"/>
        <w:tblW w:w="93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365"/>
        <w:gridCol w:w="1200"/>
        <w:gridCol w:w="1620"/>
        <w:gridCol w:w="2160"/>
        <w:gridCol w:w="1065"/>
        <w:tblGridChange w:id="0">
          <w:tblGrid>
            <w:gridCol w:w="1905"/>
            <w:gridCol w:w="1365"/>
            <w:gridCol w:w="1200"/>
            <w:gridCol w:w="1620"/>
            <w:gridCol w:w="2160"/>
            <w:gridCol w:w="1065"/>
          </w:tblGrid>
        </w:tblGridChange>
      </w:tblGrid>
      <w:tr>
        <w:trPr>
          <w:cantSplit w:val="0"/>
          <w:trHeight w:val="375" w:hRule="atLeast"/>
          <w:tblHeader w:val="0"/>
        </w:trPr>
        <w:tc>
          <w:tcPr>
            <w:vAlign w:val="center"/>
          </w:tcPr>
          <w:p w:rsidR="00000000" w:rsidDel="00000000" w:rsidP="00000000" w:rsidRDefault="00000000" w:rsidRPr="00000000" w14:paraId="00000008">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Nombre</w:t>
            </w:r>
          </w:p>
        </w:tc>
        <w:tc>
          <w:tcPr>
            <w:vAlign w:val="center"/>
          </w:tcPr>
          <w:p w:rsidR="00000000" w:rsidDel="00000000" w:rsidP="00000000" w:rsidRDefault="00000000" w:rsidRPr="00000000" w14:paraId="00000009">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Dirección</w:t>
            </w:r>
          </w:p>
        </w:tc>
        <w:tc>
          <w:tcPr>
            <w:vAlign w:val="center"/>
          </w:tcPr>
          <w:p w:rsidR="00000000" w:rsidDel="00000000" w:rsidP="00000000" w:rsidRDefault="00000000" w:rsidRPr="00000000" w14:paraId="0000000A">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Localidad</w:t>
            </w:r>
          </w:p>
        </w:tc>
        <w:tc>
          <w:tcPr>
            <w:vAlign w:val="center"/>
          </w:tcPr>
          <w:p w:rsidR="00000000" w:rsidDel="00000000" w:rsidP="00000000" w:rsidRDefault="00000000" w:rsidRPr="00000000" w14:paraId="0000000B">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Radicado</w:t>
            </w:r>
          </w:p>
        </w:tc>
        <w:tc>
          <w:tcPr>
            <w:vAlign w:val="center"/>
          </w:tcPr>
          <w:p w:rsidR="00000000" w:rsidDel="00000000" w:rsidP="00000000" w:rsidRDefault="00000000" w:rsidRPr="00000000" w14:paraId="0000000C">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Actividad</w:t>
            </w:r>
          </w:p>
        </w:tc>
        <w:tc>
          <w:tcPr>
            <w:vAlign w:val="center"/>
          </w:tcPr>
          <w:p w:rsidR="00000000" w:rsidDel="00000000" w:rsidP="00000000" w:rsidRDefault="00000000" w:rsidRPr="00000000" w14:paraId="0000000D">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Puntaje</w:t>
            </w:r>
          </w:p>
        </w:tc>
      </w:tr>
      <w:tr>
        <w:trPr>
          <w:cantSplit w:val="0"/>
          <w:trHeight w:val="1312"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0E">
            <w:pPr>
              <w:widowControl w:val="0"/>
              <w:spacing w:line="276" w:lineRule="auto"/>
              <w:jc w:val="center"/>
              <w:rPr>
                <w:rFonts w:ascii="Arial" w:cs="Arial" w:eastAsia="Arial" w:hAnsi="Arial"/>
                <w:b w:val="1"/>
                <w:bCs w:val="1"/>
                <w:sz w:val="20"/>
                <w:szCs w:val="20"/>
                <w:highlight w:val="white"/>
              </w:rPr>
            </w:pPr>
            <w:r w:rsidDel="00000000" w:rsidR="00000000" w:rsidRPr="00000000">
              <w:rPr>
                <w:rFonts w:ascii="Arial" w:cs="Arial" w:eastAsia="Arial" w:hAnsi="Arial"/>
                <w:b w:val="1"/>
                <w:bCs w:val="1"/>
                <w:sz w:val="20"/>
                <w:szCs w:val="20"/>
                <w:highlight w:val="white"/>
                <w:rtl w:val="0"/>
              </w:rPr>
              <w:t xml:space="preserve">PAPERPLAST S.A.S</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0F">
            <w:pPr>
              <w:widowControl w:val="0"/>
              <w:spacing w:line="276" w:lineRule="auto"/>
              <w:jc w:val="center"/>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CL 35 SUR 72 L 67</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10">
            <w:pPr>
              <w:widowControl w:val="0"/>
              <w:spacing w:line="276" w:lineRule="auto"/>
              <w:jc w:val="center"/>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Kennedy</w:t>
            </w:r>
          </w:p>
        </w:tc>
        <w:tc>
          <w:tcPr>
            <w:vAlign w:val="center"/>
          </w:tcPr>
          <w:p w:rsidR="00000000" w:rsidDel="00000000" w:rsidP="00000000" w:rsidRDefault="00000000" w:rsidRPr="00000000" w14:paraId="00000011">
            <w:pPr>
              <w:jc w:val="center"/>
              <w:rPr>
                <w:rFonts w:ascii="Arial" w:cs="Arial" w:eastAsia="Arial" w:hAnsi="Arial"/>
                <w:color w:val="ff0000"/>
                <w:sz w:val="18"/>
                <w:szCs w:val="18"/>
              </w:rPr>
            </w:pPr>
            <w:r w:rsidDel="00000000" w:rsidR="00000000" w:rsidRPr="00000000">
              <w:rPr>
                <w:rFonts w:ascii="Arial" w:cs="Arial" w:eastAsia="Arial" w:hAnsi="Arial"/>
                <w:sz w:val="20"/>
                <w:szCs w:val="20"/>
                <w:highlight w:val="white"/>
                <w:rtl w:val="0"/>
              </w:rPr>
              <w:t xml:space="preserve">2025EE299672</w:t>
            </w:r>
            <w:r w:rsidDel="00000000" w:rsidR="00000000" w:rsidRPr="00000000">
              <w:rPr>
                <w:rFonts w:ascii="Arial" w:cs="Arial" w:eastAsia="Arial" w:hAnsi="Arial"/>
                <w:color w:val="ff0000"/>
                <w:sz w:val="18"/>
                <w:szCs w:val="18"/>
                <w:rtl w:val="0"/>
              </w:rPr>
              <w:tab/>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12">
            <w:pPr>
              <w:widowControl w:val="0"/>
              <w:spacing w:line="276" w:lineRule="auto"/>
              <w:jc w:val="center"/>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Fabricación de empaques plásticos flexibles a partir de materiales reciclados, biodegradables y compostables.</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13">
            <w:pPr>
              <w:widowControl w:val="0"/>
              <w:spacing w:line="276" w:lineRule="auto"/>
              <w:jc w:val="center"/>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60,70%</w:t>
            </w:r>
          </w:p>
        </w:tc>
      </w:tr>
      <w:tr>
        <w:trPr>
          <w:cantSplit w:val="0"/>
          <w:trHeight w:val="109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14">
            <w:pPr>
              <w:widowControl w:val="0"/>
              <w:spacing w:line="276" w:lineRule="auto"/>
              <w:jc w:val="center"/>
              <w:rPr>
                <w:rFonts w:ascii="Arial" w:cs="Arial" w:eastAsia="Arial" w:hAnsi="Arial"/>
                <w:b w:val="1"/>
                <w:bCs w:val="1"/>
                <w:sz w:val="20"/>
                <w:szCs w:val="20"/>
                <w:highlight w:val="white"/>
              </w:rPr>
            </w:pPr>
            <w:r w:rsidDel="00000000" w:rsidR="00000000" w:rsidRPr="00000000">
              <w:rPr>
                <w:rFonts w:ascii="Arial" w:cs="Arial" w:eastAsia="Arial" w:hAnsi="Arial"/>
                <w:b w:val="1"/>
                <w:bCs w:val="1"/>
                <w:sz w:val="20"/>
                <w:szCs w:val="20"/>
                <w:highlight w:val="white"/>
                <w:rtl w:val="0"/>
              </w:rPr>
              <w:t xml:space="preserve">MAKAW BIOPLAST S.A.S.</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15">
            <w:pPr>
              <w:widowControl w:val="0"/>
              <w:spacing w:line="276" w:lineRule="auto"/>
              <w:jc w:val="center"/>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KR 99 68 B 02</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16">
            <w:pPr>
              <w:widowControl w:val="0"/>
              <w:spacing w:line="276" w:lineRule="auto"/>
              <w:jc w:val="center"/>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Engativá</w:t>
            </w:r>
          </w:p>
        </w:tc>
        <w:tc>
          <w:tcPr>
            <w:vAlign w:val="center"/>
          </w:tcPr>
          <w:p w:rsidR="00000000" w:rsidDel="00000000" w:rsidP="00000000" w:rsidRDefault="00000000" w:rsidRPr="00000000" w14:paraId="00000017">
            <w:pPr>
              <w:jc w:val="left"/>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2025EE299673</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18">
            <w:pPr>
              <w:widowControl w:val="0"/>
              <w:spacing w:line="276" w:lineRule="auto"/>
              <w:jc w:val="center"/>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Fabricación y comercialización de materia prima y productos plásticos biodegradables</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19">
            <w:pPr>
              <w:widowControl w:val="0"/>
              <w:spacing w:line="276" w:lineRule="auto"/>
              <w:jc w:val="center"/>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58,50%</w:t>
            </w:r>
          </w:p>
        </w:tc>
      </w:tr>
    </w:tbl>
    <w:p w:rsidR="00000000" w:rsidDel="00000000" w:rsidP="00000000" w:rsidRDefault="00000000" w:rsidRPr="00000000" w14:paraId="0000001A">
      <w:pPr>
        <w:rPr>
          <w:b w:val="1"/>
          <w:bCs w:val="1"/>
          <w:color w:val="ff0000"/>
        </w:rPr>
      </w:pP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t xml:space="preserve">Durante este periodo, se finalizó el informe de verificación de Negocios Verdes 2025, logrando el aval de 25 unidades productivas, dando cumplimiento al indicador mínimo de gestión establecido por el Ministerio de Ambiente y Desarrollo Sostenible. Este resultado contribuyó al fortalecimiento del ecososistema distrital de sostenibilidad, a través de la promoción de prácticas económicas, sociales y ambientales responsables. Asimismo, la evaluación técnica desarrollada permitió identificar áreas de mejora prioritarias en gestión empresarial, medición de impactos y responsabilidad social, cuyos hallazgos orientarán las acciones estratégicas de la Secretaría Distrital de Ambiente (SDA) para posicionar a Bogotá como referente nacional, en coherencia con el Plan Nacional de Negocios Verdes 2022–2030.</w:t>
      </w:r>
    </w:p>
    <w:p w:rsidR="00000000" w:rsidDel="00000000" w:rsidP="00000000" w:rsidRDefault="00000000" w:rsidRPr="00000000" w14:paraId="0000001C">
      <w:pPr>
        <w:jc w:val="both"/>
        <w:rPr>
          <w:color w:val="ff0000"/>
        </w:rPr>
      </w:pPr>
      <w:r w:rsidDel="00000000" w:rsidR="00000000" w:rsidRPr="00000000">
        <w:rPr>
          <w:rtl w:val="0"/>
        </w:rPr>
      </w:r>
    </w:p>
    <w:p w:rsidR="00000000" w:rsidDel="00000000" w:rsidP="00000000" w:rsidRDefault="00000000" w:rsidRPr="00000000" w14:paraId="0000001D">
      <w:pPr>
        <w:jc w:val="center"/>
        <w:rPr>
          <w:b w:val="1"/>
          <w:bCs w:val="1"/>
        </w:rPr>
      </w:pPr>
      <w:r w:rsidDel="00000000" w:rsidR="00000000" w:rsidRPr="00000000">
        <w:rPr>
          <w:b w:val="1"/>
          <w:bCs w:val="1"/>
          <w:rtl w:val="0"/>
        </w:rPr>
        <w:t xml:space="preserve">SEGUIMIENTO DE NEGOCIOS VERDES ACTIVOS </w:t>
      </w:r>
    </w:p>
    <w:p w:rsidR="00000000" w:rsidDel="00000000" w:rsidP="00000000" w:rsidRDefault="00000000" w:rsidRPr="00000000" w14:paraId="0000001E">
      <w:pPr>
        <w:jc w:val="both"/>
        <w:rPr>
          <w:u w:val="single"/>
        </w:rPr>
      </w:pPr>
      <w:r w:rsidDel="00000000" w:rsidR="00000000" w:rsidRPr="00000000">
        <w:rPr>
          <w:rtl w:val="0"/>
        </w:rPr>
        <w:t xml:space="preserve">En este proceso, se realizan visitas a los negocios verdes para revisar el plan de mejora y verificar los avances en el cumplimiento de los criterios establecidos. Durante estas visitas, se fijan nuevas metas y se asigna una calificación actualizada de cumplimiento. </w:t>
      </w:r>
      <w:r w:rsidDel="00000000" w:rsidR="00000000" w:rsidRPr="00000000">
        <w:rPr>
          <w:u w:val="single"/>
          <w:rtl w:val="0"/>
        </w:rPr>
        <w:t xml:space="preserve">Además, se está actualizando la herramienta de verificación para alinearse con los nuevos lineamientos del Plan Nacional de Negocios Verdes 2022-2030.</w:t>
      </w:r>
    </w:p>
    <w:p w:rsidR="00000000" w:rsidDel="00000000" w:rsidP="00000000" w:rsidRDefault="00000000" w:rsidRPr="00000000" w14:paraId="0000001F">
      <w:pPr>
        <w:jc w:val="both"/>
        <w:rPr>
          <w:u w:val="single"/>
        </w:rPr>
      </w:pPr>
      <w:r w:rsidDel="00000000" w:rsidR="00000000" w:rsidRPr="00000000">
        <w:rPr>
          <w:u w:val="single"/>
          <w:rtl w:val="0"/>
        </w:rPr>
        <w:t xml:space="preserve">Visita de seguimiento: </w:t>
      </w:r>
    </w:p>
    <w:tbl>
      <w:tblPr>
        <w:tblStyle w:val="Table2"/>
        <w:tblW w:w="91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2115"/>
        <w:gridCol w:w="1440"/>
        <w:gridCol w:w="1125"/>
        <w:gridCol w:w="1605"/>
        <w:tblGridChange w:id="0">
          <w:tblGrid>
            <w:gridCol w:w="2835"/>
            <w:gridCol w:w="2115"/>
            <w:gridCol w:w="1440"/>
            <w:gridCol w:w="1125"/>
            <w:gridCol w:w="1605"/>
          </w:tblGrid>
        </w:tblGridChange>
      </w:tblGrid>
      <w:tr>
        <w:trPr>
          <w:cantSplit w:val="0"/>
          <w:trHeight w:val="669.9609375" w:hRule="atLeast"/>
          <w:tblHeader w:val="0"/>
        </w:trPr>
        <w:tc>
          <w:tcPr>
            <w:vAlign w:val="center"/>
          </w:tcPr>
          <w:p w:rsidR="00000000" w:rsidDel="00000000" w:rsidP="00000000" w:rsidRDefault="00000000" w:rsidRPr="00000000" w14:paraId="00000020">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Nombre</w:t>
            </w:r>
          </w:p>
        </w:tc>
        <w:tc>
          <w:tcPr>
            <w:vAlign w:val="center"/>
          </w:tcPr>
          <w:p w:rsidR="00000000" w:rsidDel="00000000" w:rsidP="00000000" w:rsidRDefault="00000000" w:rsidRPr="00000000" w14:paraId="00000021">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Dirección</w:t>
            </w:r>
          </w:p>
        </w:tc>
        <w:tc>
          <w:tcPr>
            <w:vAlign w:val="center"/>
          </w:tcPr>
          <w:p w:rsidR="00000000" w:rsidDel="00000000" w:rsidP="00000000" w:rsidRDefault="00000000" w:rsidRPr="00000000" w14:paraId="00000022">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Localidad</w:t>
            </w:r>
          </w:p>
        </w:tc>
        <w:tc>
          <w:tcPr>
            <w:vAlign w:val="center"/>
          </w:tcPr>
          <w:p w:rsidR="00000000" w:rsidDel="00000000" w:rsidP="00000000" w:rsidRDefault="00000000" w:rsidRPr="00000000" w14:paraId="00000023">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Puntaje anterior</w:t>
            </w:r>
          </w:p>
        </w:tc>
        <w:tc>
          <w:tcPr>
            <w:vAlign w:val="center"/>
          </w:tcPr>
          <w:p w:rsidR="00000000" w:rsidDel="00000000" w:rsidP="00000000" w:rsidRDefault="00000000" w:rsidRPr="00000000" w14:paraId="00000024">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Puntaje actual</w:t>
            </w:r>
          </w:p>
        </w:tc>
      </w:tr>
      <w:tr>
        <w:trPr>
          <w:cantSplit w:val="0"/>
          <w:trHeight w:val="241" w:hRule="atLeast"/>
          <w:tblHeader w:val="0"/>
        </w:trPr>
        <w:tc>
          <w:tcPr>
            <w:vAlign w:val="center"/>
          </w:tcPr>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Recuperamos por Colombia JV SAS (anteriormente Moliplasticos LyF SAS)</w:t>
            </w:r>
            <w:r w:rsidDel="00000000" w:rsidR="00000000" w:rsidRPr="00000000">
              <w:rPr>
                <w:rtl w:val="0"/>
              </w:rPr>
            </w:r>
          </w:p>
        </w:tc>
        <w:tc>
          <w:tcPr>
            <w:vAlign w:val="center"/>
          </w:tcPr>
          <w:p w:rsidR="00000000" w:rsidDel="00000000" w:rsidP="00000000" w:rsidRDefault="00000000" w:rsidRPr="00000000" w14:paraId="0000002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AV CL 17 137A 36</w:t>
            </w:r>
          </w:p>
        </w:tc>
        <w:tc>
          <w:tcPr>
            <w:vAlign w:val="center"/>
          </w:tcPr>
          <w:p w:rsidR="00000000" w:rsidDel="00000000" w:rsidP="00000000" w:rsidRDefault="00000000" w:rsidRPr="00000000" w14:paraId="0000002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Fontibón</w:t>
            </w:r>
          </w:p>
        </w:tc>
        <w:tc>
          <w:tcPr>
            <w:vAlign w:val="center"/>
          </w:tcPr>
          <w:p w:rsidR="00000000" w:rsidDel="00000000" w:rsidP="00000000" w:rsidRDefault="00000000" w:rsidRPr="00000000" w14:paraId="0000002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53.19%</w:t>
            </w:r>
          </w:p>
        </w:tc>
        <w:tc>
          <w:tcPr>
            <w:vAlign w:val="center"/>
          </w:tcPr>
          <w:p w:rsidR="00000000" w:rsidDel="00000000" w:rsidP="00000000" w:rsidRDefault="00000000" w:rsidRPr="00000000" w14:paraId="0000002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52.7%</w:t>
            </w:r>
          </w:p>
        </w:tc>
      </w:tr>
    </w:tbl>
    <w:p w:rsidR="00000000" w:rsidDel="00000000" w:rsidP="00000000" w:rsidRDefault="00000000" w:rsidRPr="00000000" w14:paraId="0000002A">
      <w:pPr>
        <w:jc w:val="both"/>
        <w:rPr>
          <w:color w:val="ff0000"/>
        </w:rPr>
      </w:pPr>
      <w:r w:rsidDel="00000000" w:rsidR="00000000" w:rsidRPr="00000000">
        <w:rPr>
          <w:rtl w:val="0"/>
        </w:rPr>
      </w:r>
    </w:p>
    <w:p w:rsidR="00000000" w:rsidDel="00000000" w:rsidP="00000000" w:rsidRDefault="00000000" w:rsidRPr="00000000" w14:paraId="0000002B">
      <w:pPr>
        <w:ind w:firstLine="708"/>
        <w:jc w:val="center"/>
        <w:rPr>
          <w:b w:val="1"/>
          <w:bCs w:val="1"/>
          <w:color w:val="ff0000"/>
        </w:rPr>
      </w:pPr>
      <w:r w:rsidDel="00000000" w:rsidR="00000000" w:rsidRPr="00000000">
        <w:rPr>
          <w:rtl w:val="0"/>
        </w:rPr>
      </w:r>
    </w:p>
    <w:p w:rsidR="00000000" w:rsidDel="00000000" w:rsidP="00000000" w:rsidRDefault="00000000" w:rsidRPr="00000000" w14:paraId="0000002C">
      <w:pPr>
        <w:ind w:firstLine="708"/>
        <w:jc w:val="center"/>
        <w:rPr>
          <w:b w:val="1"/>
          <w:bCs w:val="1"/>
          <w:color w:val="ff0000"/>
        </w:rPr>
      </w:pPr>
      <w:r w:rsidDel="00000000" w:rsidR="00000000" w:rsidRPr="00000000">
        <w:rPr>
          <w:rtl w:val="0"/>
        </w:rPr>
      </w:r>
    </w:p>
    <w:p w:rsidR="00000000" w:rsidDel="00000000" w:rsidP="00000000" w:rsidRDefault="00000000" w:rsidRPr="00000000" w14:paraId="0000002D">
      <w:pPr>
        <w:ind w:firstLine="708"/>
        <w:jc w:val="center"/>
        <w:rPr>
          <w:b w:val="1"/>
          <w:bCs w:val="1"/>
        </w:rPr>
      </w:pPr>
      <w:r w:rsidDel="00000000" w:rsidR="00000000" w:rsidRPr="00000000">
        <w:rPr>
          <w:b w:val="1"/>
          <w:bCs w:val="1"/>
          <w:rtl w:val="0"/>
        </w:rPr>
        <w:t xml:space="preserve">FINALIZACIÓN  PROYECTO DE APERTURA DE MERCADOS Y DIFUSIÓN DE NEGOCIOS VERDES</w:t>
      </w:r>
    </w:p>
    <w:p w:rsidR="00000000" w:rsidDel="00000000" w:rsidP="00000000" w:rsidRDefault="00000000" w:rsidRPr="00000000" w14:paraId="0000002E">
      <w:pPr>
        <w:rPr/>
      </w:pPr>
      <w:r w:rsidDel="00000000" w:rsidR="00000000" w:rsidRPr="00000000">
        <w:rPr>
          <w:rtl w:val="0"/>
        </w:rPr>
        <w:t xml:space="preserve">En el marco de este proyecto, durante el presente mes se llevaron a cabo las siguientes actividades clave para su adecuada ejecución.</w:t>
      </w:r>
    </w:p>
    <w:p w:rsidR="00000000" w:rsidDel="00000000" w:rsidP="00000000" w:rsidRDefault="00000000" w:rsidRPr="00000000" w14:paraId="0000002F">
      <w:pPr>
        <w:jc w:val="center"/>
        <w:rPr>
          <w:u w:val="single"/>
        </w:rPr>
      </w:pPr>
      <w:r w:rsidDel="00000000" w:rsidR="00000000" w:rsidRPr="00000000">
        <w:rPr>
          <w:u w:val="single"/>
          <w:rtl w:val="0"/>
        </w:rPr>
        <w:t xml:space="preserve">BIOEXPO</w:t>
      </w:r>
    </w:p>
    <w:p w:rsidR="00000000" w:rsidDel="00000000" w:rsidP="00000000" w:rsidRDefault="00000000" w:rsidRPr="00000000" w14:paraId="00000030">
      <w:pPr>
        <w:jc w:val="both"/>
        <w:rPr/>
      </w:pPr>
      <w:r w:rsidDel="00000000" w:rsidR="00000000" w:rsidRPr="00000000">
        <w:rPr>
          <w:rtl w:val="0"/>
        </w:rPr>
        <w:t xml:space="preserve">En el marco del proyecto “Apertura de Mercados para los Negocios Verdes”, del 02 al 05 de diciembre de 2025 se realizó en Pasto la onceava edición de Bioexpo, la vitrina verde más importante de Latinoamérica, que reunió a negocios verdes, expertos, entidades públicas y privadas e instituciones académicas para promover la innovación, la sostenibilidad y el desarrollo competitivo del país. El evento se desarrolló en cinco escenarios de la ciudad e incluyó muestra comercial, agenda académica, espacios de gobernanza, componente internacional y actividades culturales.</w:t>
      </w:r>
    </w:p>
    <w:p w:rsidR="00000000" w:rsidDel="00000000" w:rsidP="00000000" w:rsidRDefault="00000000" w:rsidRPr="00000000" w14:paraId="00000031">
      <w:pPr>
        <w:jc w:val="both"/>
        <w:rPr/>
      </w:pPr>
      <w:r w:rsidDel="00000000" w:rsidR="00000000" w:rsidRPr="00000000">
        <w:rPr>
          <w:rtl w:val="0"/>
        </w:rPr>
        <w:t xml:space="preserve">Por parte de la Secretaría Distrital de Ambiente (SDA) participaron cinco Negocios Verdes de Bogotá, cuya vinculación al evento fue posible gracias al acompañamiento de los profesionales de la Ventanilla Distrital de Negocios Verdes, quienes apoyaron los procesos de convocatoria y participación. Los negocios participantes fueron Encurtidos Doña Lola S.A.S., La Semilla, Selva Inmensa, R3coropa Responsable y Aceites Esenciales Aromas Colombianas.</w:t>
      </w:r>
    </w:p>
    <w:p w:rsidR="00000000" w:rsidDel="00000000" w:rsidP="00000000" w:rsidRDefault="00000000" w:rsidRPr="00000000" w14:paraId="00000032">
      <w:pPr>
        <w:jc w:val="both"/>
        <w:rPr/>
      </w:pPr>
      <w:r w:rsidDel="00000000" w:rsidR="00000000" w:rsidRPr="00000000">
        <w:rPr>
          <w:rtl w:val="0"/>
        </w:rPr>
        <w:t xml:space="preserve">Durante el desarrollo de Bioexpo 2025, los Negocios Verdes representantes de Bogotá registraron ventas totales por $6.010.000 COP. </w:t>
      </w:r>
    </w:p>
    <w:p w:rsidR="00000000" w:rsidDel="00000000" w:rsidP="00000000" w:rsidRDefault="00000000" w:rsidRPr="00000000" w14:paraId="00000033">
      <w:pPr>
        <w:jc w:val="both"/>
        <w:rPr/>
      </w:pPr>
      <w:r w:rsidDel="00000000" w:rsidR="00000000" w:rsidRPr="00000000">
        <w:rPr>
          <w:rtl w:val="0"/>
        </w:rPr>
        <w:t xml:space="preserve">La participación en Bioexpo 2025 permitió fortalecer el acceso a mercados, promover el relacionamiento comercial y consolidar la articulación interinstitucional; no obstante, no se alcanzaron las expectativas de ventas proyectadas. Aun así, el evento reafirmó la importancia de continuar impulsando espacios de alcance nacional e internacional que contribuyan al crecimiento, posicionamiento y proyección de los Negocios Verdes avalados por la SDA, más allá de los resultados comerciales inmediatos.</w:t>
      </w:r>
    </w:p>
    <w:p w:rsidR="00000000" w:rsidDel="00000000" w:rsidP="00000000" w:rsidRDefault="00000000" w:rsidRPr="00000000" w14:paraId="00000034">
      <w:pPr>
        <w:jc w:val="both"/>
        <w:rPr/>
      </w:pPr>
      <w:r w:rsidDel="00000000" w:rsidR="00000000" w:rsidRPr="00000000">
        <w:rPr>
          <w:rtl w:val="0"/>
        </w:rPr>
      </w:r>
    </w:p>
    <w:p w:rsidR="00000000" w:rsidDel="00000000" w:rsidP="00000000" w:rsidRDefault="00000000" w:rsidRPr="00000000" w14:paraId="00000035">
      <w:pPr>
        <w:jc w:val="center"/>
        <w:rPr>
          <w:u w:val="single"/>
        </w:rPr>
      </w:pPr>
      <w:r w:rsidDel="00000000" w:rsidR="00000000" w:rsidRPr="00000000">
        <w:rPr>
          <w:u w:val="single"/>
          <w:rtl w:val="0"/>
        </w:rPr>
        <w:t xml:space="preserve">INFORME FINAL DE RESULTADOS DEL PROYECTO</w:t>
      </w:r>
    </w:p>
    <w:p w:rsidR="00000000" w:rsidDel="00000000" w:rsidP="00000000" w:rsidRDefault="00000000" w:rsidRPr="00000000" w14:paraId="00000036">
      <w:pPr>
        <w:spacing w:after="240" w:before="240" w:lineRule="auto"/>
        <w:jc w:val="both"/>
        <w:rPr>
          <w:color w:val="ff0000"/>
        </w:rPr>
      </w:pPr>
      <w:r w:rsidDel="00000000" w:rsidR="00000000" w:rsidRPr="00000000">
        <w:rPr>
          <w:color w:val="ff0000"/>
          <w:rtl w:val="0"/>
        </w:rPr>
        <w:t xml:space="preserve">El 25 de noviembre de 2025 se realizó la reunión de coordinación final con los negocios verdes que participarán en Bioexpo 2025 – Cinco mundos por descubrir. En este espacio se socializó el Manual de Expositores, se resolvieron inquietudes de los participantes y se entregaron las directrices necesarias para garantizar una participación exitosa en el evento. Bioexpo es reconocido como el escenario comercial más importante de Latinoamérica dedicado a los negocios verdes.</w:t>
      </w:r>
    </w:p>
    <w:p w:rsidR="00000000" w:rsidDel="00000000" w:rsidP="00000000" w:rsidRDefault="00000000" w:rsidRPr="00000000" w14:paraId="00000037">
      <w:pPr>
        <w:spacing w:after="240" w:before="240" w:lineRule="auto"/>
        <w:jc w:val="both"/>
        <w:rPr>
          <w:color w:val="ff0000"/>
          <w:u w:val="single"/>
        </w:rPr>
      </w:pPr>
      <w:r w:rsidDel="00000000" w:rsidR="00000000" w:rsidRPr="00000000">
        <w:rPr>
          <w:color w:val="ff0000"/>
          <w:rtl w:val="0"/>
        </w:rPr>
        <w:t xml:space="preserve">En total, siete negocios verdes representarán a Bogotá en esta edición. La Ventanilla Distrital de Negocios Verdes gestionó recursos de financiación para hospedaje, transporte y alimentación para cuatro de ellos. Adicionalmente, dos negocios verdes fueron seleccionados para recibir apoyo de ProColombia, lo que les permitirá participar en la Macrorrueda de Negocios que se llevará a cabo en el marco de Bioexpo.</w:t>
      </w:r>
      <w:r w:rsidDel="00000000" w:rsidR="00000000" w:rsidRPr="00000000">
        <w:rPr>
          <w:rtl w:val="0"/>
        </w:rPr>
      </w:r>
    </w:p>
    <w:p w:rsidR="00000000" w:rsidDel="00000000" w:rsidP="00000000" w:rsidRDefault="00000000" w:rsidRPr="00000000" w14:paraId="00000038">
      <w:pPr>
        <w:jc w:val="center"/>
        <w:rPr>
          <w:b w:val="1"/>
          <w:bCs w:val="1"/>
        </w:rPr>
      </w:pPr>
      <w:r w:rsidDel="00000000" w:rsidR="00000000" w:rsidRPr="00000000">
        <w:rPr>
          <w:b w:val="1"/>
          <w:bCs w:val="1"/>
          <w:rtl w:val="0"/>
        </w:rPr>
        <w:t xml:space="preserve"> FINALIZACIÓN DEL PROYECTO DE FORTALECIMIENTO DE CAPACIDADES DE NEGOCIOS VERDES CON EL APOYO DEL </w:t>
      </w:r>
      <w:r w:rsidDel="00000000" w:rsidR="00000000" w:rsidRPr="00000000">
        <w:rPr>
          <w:b w:val="1"/>
          <w:bCs w:val="1"/>
          <w:highlight w:val="white"/>
          <w:rtl w:val="0"/>
        </w:rPr>
        <w:t xml:space="preserve">COLEGIO DE ESTUDIOS SUPERIORES DE ADMINISTRACIÓN (CESA)</w:t>
      </w:r>
      <w:r w:rsidDel="00000000" w:rsidR="00000000" w:rsidRPr="00000000">
        <w:rPr>
          <w:b w:val="1"/>
          <w:bCs w:val="1"/>
          <w:rtl w:val="0"/>
        </w:rPr>
        <w:br w:type="textWrapping"/>
      </w:r>
    </w:p>
    <w:p w:rsidR="00000000" w:rsidDel="00000000" w:rsidP="00000000" w:rsidRDefault="00000000" w:rsidRPr="00000000" w14:paraId="00000039">
      <w:pPr>
        <w:jc w:val="center"/>
        <w:rPr>
          <w:b w:val="1"/>
          <w:bCs w:val="1"/>
          <w:color w:val="ff0000"/>
        </w:rPr>
      </w:pPr>
      <w:r w:rsidDel="00000000" w:rsidR="00000000" w:rsidRPr="00000000">
        <w:rPr>
          <w:u w:val="single"/>
          <w:rtl w:val="0"/>
        </w:rPr>
        <w:t xml:space="preserve">INFORME FINAL DE RESULTADOS DEL PROYECTO</w:t>
      </w:r>
      <w:r w:rsidDel="00000000" w:rsidR="00000000" w:rsidRPr="00000000">
        <w:rPr>
          <w:rtl w:val="0"/>
        </w:rPr>
      </w:r>
    </w:p>
    <w:p w:rsidR="00000000" w:rsidDel="00000000" w:rsidP="00000000" w:rsidRDefault="00000000" w:rsidRPr="00000000" w14:paraId="0000003A">
      <w:pPr>
        <w:spacing w:after="240" w:before="240" w:lineRule="auto"/>
        <w:jc w:val="both"/>
        <w:rPr>
          <w:color w:val="ff0000"/>
        </w:rPr>
      </w:pPr>
      <w:r w:rsidDel="00000000" w:rsidR="00000000" w:rsidRPr="00000000">
        <w:rPr>
          <w:color w:val="ff0000"/>
          <w:rtl w:val="0"/>
        </w:rPr>
        <w:t xml:space="preserve">En el marco del compromiso con el fortalecimiento empresarial y el impulso a la economía sostenible, el pasado jueves 20 y viernes 21 de noviembre de 2025 se llevó a cabo el cierre del proyecto “El CESA genera impacto sostenible a través del aprendizaje - servicio (ApS)” por parte de los estudiantes de la asignatura de Modelos de Negocio Sostenibles y de los grupos de Sostenibilidad Empresarial, referentes a las Opciones 1 y 2 del proceso de fortalecimiento desarrollado este semestre.</w:t>
      </w:r>
    </w:p>
    <w:p w:rsidR="00000000" w:rsidDel="00000000" w:rsidP="00000000" w:rsidRDefault="00000000" w:rsidRPr="00000000" w14:paraId="0000003B">
      <w:pPr>
        <w:spacing w:after="240" w:before="240" w:lineRule="auto"/>
        <w:jc w:val="both"/>
        <w:rPr>
          <w:color w:val="ff0000"/>
        </w:rPr>
      </w:pPr>
      <w:r w:rsidDel="00000000" w:rsidR="00000000" w:rsidRPr="00000000">
        <w:rPr>
          <w:color w:val="ff0000"/>
          <w:rtl w:val="0"/>
        </w:rPr>
        <w:t xml:space="preserve">Este cierre se llevó a cabo en 3 momentos, el primero por parte del grupo de 3 negocios verdes participantes en la opción 1 (Eco Entregas, Infinita es Infinita y Hortalitas), correspondiente a Investigación de Mercados y Modelos de Negocio Sostenibles, el cierre se llevó a cabo de manera virtual el día jueves 20 de noviembre. En este caso el proceso estaba orientado a analizar las fortalezas y debilidades del modelo de cada negocio e identificar puntos de mejora, realizando una propuesta detallada para la propuesta que se considerara como más prioritaria, con un entregable específico para dar inicio con la propuesta expuesta. En este caso, algunas de las propuestas expuestas para Hortalitas estuvieron orientadas a la realización de contenido educativo para redes, proyectar la creación de una tienda virtual en la página web y el fortalecimiento de sus alianzas estratégicas buscando fortalecer su presencia de mercado en una mayor cantidad de espacios. Para Infinita se propuso la implementación de indicadores y KPI’s para tener una medida clara del impacto positivo en sostenibilidad que tiene el negocio a través de un dashboard que tenga la estructura de indicadores propuesta; finalmente, la propuesta presentada a Eco Entregas estuvo enfocada en doble vía, por un lado, orientada a robustecer los indicadores que se miden con el fin de mejorar la estrategia de comunicación de cara a los clientes del impacto positivo de la empresa, así como una estrategia de fidelización mediante el reconocimiento de clientes frecuentes; y por otro lado, mediante un programa de bienestar y fortalecimiento hacia los empleados mediante capacitaciones en temas como seguridad vial, atención al cliente, mecánica básica, entre otros.</w:t>
      </w:r>
    </w:p>
    <w:p w:rsidR="00000000" w:rsidDel="00000000" w:rsidP="00000000" w:rsidRDefault="00000000" w:rsidRPr="00000000" w14:paraId="0000003C">
      <w:pPr>
        <w:spacing w:after="240" w:before="240" w:lineRule="auto"/>
        <w:jc w:val="both"/>
        <w:rPr>
          <w:color w:val="ff0000"/>
        </w:rPr>
      </w:pPr>
      <w:r w:rsidDel="00000000" w:rsidR="00000000" w:rsidRPr="00000000">
        <w:rPr>
          <w:color w:val="ff0000"/>
          <w:rtl w:val="0"/>
        </w:rPr>
        <w:t xml:space="preserve">En el caso de las 10 empresas que hicieron parte del proceso en la Opción 2, relativa a Sostenibilidad Empresarial, se llevaron 3 grupos que hicieron sus cierres de manera independiente; el primero se desarrolló mediante un encuentro presencial llevado a cabo el jueves 20 de noviembre en las instalaciones del CESA en el que estuvieron los grupos que trabajaron con los negocios verdes Anaivi’s Hecho a Mano, Fondotur y Publiprint (Marca Comercial Wira); en este espacio y a través de presentaciones de 10 minutos, cada grupo expuso sus hallazgos en cuanto a la alineación de la organización con la sostenibilidad desde su misión, visión, KPI’s, ODS que promueve, y finalmente un conjunto de propuestas para mejorar la alineación de las empresas con criterios de sostenibilidad y una propuesta de entregable para que las empresas pudieran empezar a llevar a cabo estas acciones: Para el caso de las 3 empresas anteriormente mencionadas se recibieron propuestas en materia de medición de impacto a nivel social y ambiental con un formulario propuesto por los mismos estudiantes, mejoras en la estrategia de comunicación y capacitación del personal y la consolidación de una política de sostenibilidad y el desarrollo de nuevos productos.</w:t>
      </w:r>
    </w:p>
    <w:p w:rsidR="00000000" w:rsidDel="00000000" w:rsidP="00000000" w:rsidRDefault="00000000" w:rsidRPr="00000000" w14:paraId="0000003D">
      <w:pPr>
        <w:spacing w:after="240" w:before="240" w:lineRule="auto"/>
        <w:jc w:val="both"/>
        <w:rPr>
          <w:color w:val="ff0000"/>
        </w:rPr>
      </w:pPr>
      <w:r w:rsidDel="00000000" w:rsidR="00000000" w:rsidRPr="00000000">
        <w:rPr>
          <w:color w:val="ff0000"/>
          <w:rtl w:val="0"/>
        </w:rPr>
        <w:t xml:space="preserve">Un segundo momento también en Sostenibilidad Empresarial se llevó a cabo el viernes 21 de octubre de manera virtual, esta vez con los negocios verdes Valorable, Organic Mode y Oda Restaurante, los cuales recibieron propuestas de mejora en aspectos como mejorar la estrategia de comunicación mediante la obtención de algunas certificaciones en sostenibilidad para la empresa, y ciertas recomendaciones a implementar para lograrlas, así como el costo estimado del proceso; aumentar su presencia en redes sociales y cambios en la estructura de KPI’s de la empresa para obtener más y mejor información sobre el desempeño e impacto de la empresa en temas de sostenibilidad. El tercer grupo que contiene los negocios verdes restantes (Publillos, Uniformes D’Classe, Te Sirve Biorecicla y Darka) realizó su cierre de manera independiente, sin embargo, los resultados de este grupo junto con las demás propuestas y trabajos de las dos opciones de fortalecimiento serán compartidos por parte de las docentes del CESA encargadas del proyecto en conjunto vía correo electrónico, y el trabajo realizado con estas empresas será presentado de manera resumida en el informe de cierre del proyecto que será presentado y entregado el próximo mes de diciembre.</w:t>
      </w:r>
    </w:p>
    <w:p w:rsidR="00000000" w:rsidDel="00000000" w:rsidP="00000000" w:rsidRDefault="00000000" w:rsidRPr="00000000" w14:paraId="0000003E">
      <w:pPr>
        <w:jc w:val="both"/>
        <w:rPr>
          <w:color w:val="ff0000"/>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table" w:styleId="TableNormal7" w:customStyle="1">
    <w:name w:val="Table Normal"/>
    <w:tblPr>
      <w:tblCellMar>
        <w:top w:w="0.0" w:type="dxa"/>
        <w:left w:w="0.0" w:type="dxa"/>
        <w:bottom w:w="0.0" w:type="dxa"/>
        <w:right w:w="0.0" w:type="dxa"/>
      </w:tblCellMar>
    </w:tblPr>
  </w:style>
  <w:style w:type="table" w:styleId="TableNormal8" w:customStyle="1">
    <w:name w:val="Table Normal"/>
    <w:tblPr>
      <w:tblCellMar>
        <w:top w:w="0.0" w:type="dxa"/>
        <w:left w:w="0.0" w:type="dxa"/>
        <w:bottom w:w="0.0" w:type="dxa"/>
        <w:right w:w="0.0" w:type="dxa"/>
      </w:tblCellMar>
    </w:tblPr>
  </w:style>
  <w:style w:type="table" w:styleId="TableNormal9" w:customStyle="1">
    <w:name w:val="Table Normal"/>
    <w:tblPr>
      <w:tblCellMar>
        <w:top w:w="0.0" w:type="dxa"/>
        <w:left w:w="0.0" w:type="dxa"/>
        <w:bottom w:w="0.0" w:type="dxa"/>
        <w:right w:w="0.0" w:type="dxa"/>
      </w:tblCellMar>
    </w:tblPr>
  </w:style>
  <w:style w:type="table" w:styleId="TableNormala" w:customStyle="1">
    <w:name w:val="Table Normal"/>
    <w:tblPr>
      <w:tblCellMar>
        <w:top w:w="0.0" w:type="dxa"/>
        <w:left w:w="0.0" w:type="dxa"/>
        <w:bottom w:w="0.0" w:type="dxa"/>
        <w:right w:w="0.0" w:type="dxa"/>
      </w:tblCellMar>
    </w:tblPr>
  </w:style>
  <w:style w:type="table" w:styleId="Tablaconcuadrcula">
    <w:name w:val="Table Grid"/>
    <w:basedOn w:val="Tablanormal"/>
    <w:uiPriority w:val="39"/>
    <w:rsid w:val="00764E5E"/>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a" w:customStyle="1">
    <w:basedOn w:val="TableNormala"/>
    <w:pPr>
      <w:spacing w:after="0" w:line="240" w:lineRule="auto"/>
    </w:pPr>
    <w:tblPr>
      <w:tblStyleRowBandSize w:val="1"/>
      <w:tblStyleColBandSize w:val="1"/>
      <w:tblCellMar>
        <w:top w:w="0.0" w:type="dxa"/>
        <w:left w:w="108.0" w:type="dxa"/>
        <w:bottom w:w="0.0" w:type="dxa"/>
        <w:right w:w="108.0" w:type="dxa"/>
      </w:tblCellMar>
    </w:tblPr>
  </w:style>
  <w:style w:type="table" w:styleId="a0" w:customStyle="1">
    <w:basedOn w:val="TableNormala"/>
    <w:pPr>
      <w:spacing w:after="0" w:line="240" w:lineRule="auto"/>
    </w:pPr>
    <w:tblPr>
      <w:tblStyleRowBandSize w:val="1"/>
      <w:tblStyleColBandSize w:val="1"/>
      <w:tblCellMar>
        <w:top w:w="0.0" w:type="dxa"/>
        <w:left w:w="108.0" w:type="dxa"/>
        <w:bottom w:w="0.0" w:type="dxa"/>
        <w:right w:w="108.0" w:type="dxa"/>
      </w:tblCellMar>
    </w:tblPr>
  </w:style>
  <w:style w:type="table" w:styleId="a1" w:customStyle="1">
    <w:basedOn w:val="TableNormala"/>
    <w:pPr>
      <w:spacing w:after="0" w:line="240" w:lineRule="auto"/>
    </w:pPr>
    <w:tblPr>
      <w:tblStyleRowBandSize w:val="1"/>
      <w:tblStyleColBandSize w:val="1"/>
      <w:tblCellMar>
        <w:top w:w="0.0" w:type="dxa"/>
        <w:left w:w="108.0" w:type="dxa"/>
        <w:bottom w:w="0.0" w:type="dxa"/>
        <w:right w:w="108.0" w:type="dxa"/>
      </w:tblCellMar>
    </w:tblPr>
  </w:style>
  <w:style w:type="table" w:styleId="a2" w:customStyle="1">
    <w:basedOn w:val="TableNormala"/>
    <w:pPr>
      <w:spacing w:after="0" w:line="240" w:lineRule="auto"/>
    </w:pPr>
    <w:tblPr>
      <w:tblStyleRowBandSize w:val="1"/>
      <w:tblStyleColBandSize w:val="1"/>
      <w:tblCellMar>
        <w:top w:w="0.0" w:type="dxa"/>
        <w:left w:w="108.0" w:type="dxa"/>
        <w:bottom w:w="0.0" w:type="dxa"/>
        <w:right w:w="108.0" w:type="dxa"/>
      </w:tblCellMar>
    </w:tblPr>
  </w:style>
  <w:style w:type="table" w:styleId="a3" w:customStyle="1">
    <w:basedOn w:val="TableNormal9"/>
    <w:pPr>
      <w:spacing w:after="0" w:line="240" w:lineRule="auto"/>
    </w:pPr>
    <w:tblPr>
      <w:tblStyleRowBandSize w:val="1"/>
      <w:tblStyleColBandSize w:val="1"/>
      <w:tblCellMar>
        <w:top w:w="0.0" w:type="dxa"/>
        <w:left w:w="108.0" w:type="dxa"/>
        <w:bottom w:w="0.0" w:type="dxa"/>
        <w:right w:w="108.0" w:type="dxa"/>
      </w:tblCellMar>
    </w:tblPr>
  </w:style>
  <w:style w:type="table" w:styleId="a4" w:customStyle="1">
    <w:basedOn w:val="TableNormal9"/>
    <w:pPr>
      <w:spacing w:after="0" w:line="240" w:lineRule="auto"/>
    </w:pPr>
    <w:tblPr>
      <w:tblStyleRowBandSize w:val="1"/>
      <w:tblStyleColBandSize w:val="1"/>
      <w:tblCellMar>
        <w:top w:w="0.0" w:type="dxa"/>
        <w:left w:w="108.0" w:type="dxa"/>
        <w:bottom w:w="0.0" w:type="dxa"/>
        <w:right w:w="108.0" w:type="dxa"/>
      </w:tblCellMar>
    </w:tblPr>
  </w:style>
  <w:style w:type="table" w:styleId="a5" w:customStyle="1">
    <w:basedOn w:val="TableNormal9"/>
    <w:pPr>
      <w:spacing w:after="0" w:line="240" w:lineRule="auto"/>
    </w:pPr>
    <w:tblPr>
      <w:tblStyleRowBandSize w:val="1"/>
      <w:tblStyleColBandSize w:val="1"/>
      <w:tblCellMar>
        <w:top w:w="0.0" w:type="dxa"/>
        <w:left w:w="108.0" w:type="dxa"/>
        <w:bottom w:w="0.0" w:type="dxa"/>
        <w:right w:w="108.0" w:type="dxa"/>
      </w:tblCellMar>
    </w:tblPr>
  </w:style>
  <w:style w:type="table" w:styleId="a6" w:customStyle="1">
    <w:basedOn w:val="TableNormal9"/>
    <w:pPr>
      <w:spacing w:after="0" w:line="240" w:lineRule="auto"/>
    </w:pPr>
    <w:tblPr>
      <w:tblStyleRowBandSize w:val="1"/>
      <w:tblStyleColBandSize w:val="1"/>
      <w:tblCellMar>
        <w:top w:w="0.0" w:type="dxa"/>
        <w:left w:w="108.0" w:type="dxa"/>
        <w:bottom w:w="0.0" w:type="dxa"/>
        <w:right w:w="108.0" w:type="dxa"/>
      </w:tblCellMar>
    </w:tblPr>
  </w:style>
  <w:style w:type="paragraph" w:styleId="NormalWeb">
    <w:name w:val="Normal (Web)"/>
    <w:basedOn w:val="Normal"/>
    <w:uiPriority w:val="99"/>
    <w:semiHidden w:val="1"/>
    <w:unhideWhenUsed w:val="1"/>
    <w:rsid w:val="00920DA3"/>
    <w:pPr>
      <w:spacing w:after="100" w:afterAutospacing="1" w:before="100" w:beforeAutospacing="1" w:line="240" w:lineRule="auto"/>
    </w:pPr>
    <w:rPr>
      <w:rFonts w:ascii="Times New Roman" w:cs="Times New Roman" w:eastAsia="Times New Roman" w:hAnsi="Times New Roman"/>
      <w:sz w:val="24"/>
      <w:szCs w:val="24"/>
    </w:rPr>
  </w:style>
  <w:style w:type="table" w:styleId="a7" w:customStyle="1">
    <w:basedOn w:val="TableNormal7"/>
    <w:pPr>
      <w:spacing w:after="0" w:line="240" w:lineRule="auto"/>
    </w:pPr>
    <w:tblPr>
      <w:tblStyleRowBandSize w:val="1"/>
      <w:tblStyleColBandSize w:val="1"/>
      <w:tblCellMar>
        <w:top w:w="0.0" w:type="dxa"/>
        <w:left w:w="108.0" w:type="dxa"/>
        <w:bottom w:w="0.0" w:type="dxa"/>
        <w:right w:w="108.0" w:type="dxa"/>
      </w:tblCellMar>
    </w:tblPr>
  </w:style>
  <w:style w:type="table" w:styleId="a8" w:customStyle="1">
    <w:basedOn w:val="TableNormal7"/>
    <w:pPr>
      <w:spacing w:after="0" w:line="240" w:lineRule="auto"/>
    </w:pPr>
    <w:tblPr>
      <w:tblStyleRowBandSize w:val="1"/>
      <w:tblStyleColBandSize w:val="1"/>
      <w:tblCellMar>
        <w:top w:w="0.0" w:type="dxa"/>
        <w:left w:w="108.0" w:type="dxa"/>
        <w:bottom w:w="0.0" w:type="dxa"/>
        <w:right w:w="108.0" w:type="dxa"/>
      </w:tblCellMar>
    </w:tblPr>
  </w:style>
  <w:style w:type="table" w:styleId="a9" w:customStyle="1">
    <w:basedOn w:val="TableNormal6"/>
    <w:pPr>
      <w:spacing w:after="0" w:line="240" w:lineRule="auto"/>
    </w:pPr>
    <w:tblPr>
      <w:tblStyleRowBandSize w:val="1"/>
      <w:tblStyleColBandSize w:val="1"/>
      <w:tblCellMar>
        <w:top w:w="0.0" w:type="dxa"/>
        <w:left w:w="108.0" w:type="dxa"/>
        <w:bottom w:w="0.0" w:type="dxa"/>
        <w:right w:w="108.0" w:type="dxa"/>
      </w:tblCellMar>
    </w:tblPr>
  </w:style>
  <w:style w:type="table" w:styleId="aa" w:customStyle="1">
    <w:basedOn w:val="TableNormal6"/>
    <w:tblPr>
      <w:tblStyleRowBandSize w:val="1"/>
      <w:tblStyleColBandSize w:val="1"/>
      <w:tblCellMar>
        <w:top w:w="100.0" w:type="dxa"/>
        <w:left w:w="100.0" w:type="dxa"/>
        <w:bottom w:w="100.0" w:type="dxa"/>
        <w:right w:w="100.0" w:type="dxa"/>
      </w:tblCellMar>
    </w:tblPr>
  </w:style>
  <w:style w:type="table" w:styleId="ab" w:customStyle="1">
    <w:basedOn w:val="TableNormal6"/>
    <w:pPr>
      <w:spacing w:after="0" w:line="240" w:lineRule="auto"/>
    </w:pPr>
    <w:tblPr>
      <w:tblStyleRowBandSize w:val="1"/>
      <w:tblStyleColBandSize w:val="1"/>
      <w:tblCellMar>
        <w:top w:w="0.0" w:type="dxa"/>
        <w:left w:w="108.0" w:type="dxa"/>
        <w:bottom w:w="0.0" w:type="dxa"/>
        <w:right w:w="108.0" w:type="dxa"/>
      </w:tblCellMar>
    </w:tblPr>
  </w:style>
  <w:style w:type="table" w:styleId="ac" w:customStyle="1">
    <w:basedOn w:val="TableNormal5"/>
    <w:pPr>
      <w:spacing w:after="0" w:line="240" w:lineRule="auto"/>
    </w:pPr>
    <w:tblPr>
      <w:tblStyleRowBandSize w:val="1"/>
      <w:tblStyleColBandSize w:val="1"/>
      <w:tblCellMar>
        <w:top w:w="0.0" w:type="dxa"/>
        <w:left w:w="108.0" w:type="dxa"/>
        <w:bottom w:w="0.0" w:type="dxa"/>
        <w:right w:w="108.0" w:type="dxa"/>
      </w:tblCellMar>
    </w:tblPr>
  </w:style>
  <w:style w:type="table" w:styleId="ad" w:customStyle="1">
    <w:basedOn w:val="TableNormal5"/>
    <w:pPr>
      <w:spacing w:after="0" w:line="240" w:lineRule="auto"/>
    </w:pPr>
    <w:tblPr>
      <w:tblStyleRowBandSize w:val="1"/>
      <w:tblStyleColBandSize w:val="1"/>
      <w:tblCellMar>
        <w:top w:w="0.0" w:type="dxa"/>
        <w:left w:w="108.0" w:type="dxa"/>
        <w:bottom w:w="0.0" w:type="dxa"/>
        <w:right w:w="108.0" w:type="dxa"/>
      </w:tblCellMar>
    </w:tblPr>
  </w:style>
  <w:style w:type="table" w:styleId="ae" w:customStyle="1">
    <w:basedOn w:val="TableNormal5"/>
    <w:pPr>
      <w:spacing w:after="0" w:line="240" w:lineRule="auto"/>
    </w:pPr>
    <w:tblPr>
      <w:tblStyleRowBandSize w:val="1"/>
      <w:tblStyleColBandSize w:val="1"/>
      <w:tblCellMar>
        <w:top w:w="0.0" w:type="dxa"/>
        <w:left w:w="108.0" w:type="dxa"/>
        <w:bottom w:w="0.0" w:type="dxa"/>
        <w:right w:w="108.0" w:type="dxa"/>
      </w:tblCellMar>
    </w:tblPr>
  </w:style>
  <w:style w:type="table" w:styleId="af" w:customStyle="1">
    <w:basedOn w:val="TableNormal5"/>
    <w:pPr>
      <w:spacing w:after="0" w:line="240" w:lineRule="auto"/>
    </w:pPr>
    <w:tblPr>
      <w:tblStyleRowBandSize w:val="1"/>
      <w:tblStyleColBandSize w:val="1"/>
      <w:tblCellMar>
        <w:top w:w="0.0" w:type="dxa"/>
        <w:left w:w="108.0" w:type="dxa"/>
        <w:bottom w:w="0.0" w:type="dxa"/>
        <w:right w:w="108.0" w:type="dxa"/>
      </w:tblCellMar>
    </w:tblPr>
  </w:style>
  <w:style w:type="table" w:styleId="af0" w:customStyle="1">
    <w:basedOn w:val="TableNormal3"/>
    <w:pPr>
      <w:spacing w:after="0" w:line="240" w:lineRule="auto"/>
    </w:pPr>
    <w:tblPr>
      <w:tblStyleRowBandSize w:val="1"/>
      <w:tblStyleColBandSize w:val="1"/>
      <w:tblCellMar>
        <w:top w:w="0.0" w:type="dxa"/>
        <w:left w:w="108.0" w:type="dxa"/>
        <w:bottom w:w="0.0" w:type="dxa"/>
        <w:right w:w="108.0" w:type="dxa"/>
      </w:tblCellMar>
    </w:tblPr>
  </w:style>
  <w:style w:type="table" w:styleId="af1" w:customStyle="1">
    <w:basedOn w:val="TableNormal3"/>
    <w:pPr>
      <w:spacing w:after="0" w:line="240" w:lineRule="auto"/>
    </w:pPr>
    <w:tblPr>
      <w:tblStyleRowBandSize w:val="1"/>
      <w:tblStyleColBandSize w:val="1"/>
      <w:tblCellMar>
        <w:top w:w="0.0" w:type="dxa"/>
        <w:left w:w="108.0" w:type="dxa"/>
        <w:bottom w:w="0.0" w:type="dxa"/>
        <w:right w:w="108.0" w:type="dxa"/>
      </w:tblCellMar>
    </w:tblPr>
  </w:style>
  <w:style w:type="table" w:styleId="af2" w:customStyle="1">
    <w:basedOn w:val="TableNormal3"/>
    <w:pPr>
      <w:spacing w:after="0" w:line="240" w:lineRule="auto"/>
    </w:pPr>
    <w:tblPr>
      <w:tblStyleRowBandSize w:val="1"/>
      <w:tblStyleColBandSize w:val="1"/>
      <w:tblCellMar>
        <w:top w:w="0.0" w:type="dxa"/>
        <w:left w:w="108.0" w:type="dxa"/>
        <w:bottom w:w="0.0" w:type="dxa"/>
        <w:right w:w="108.0" w:type="dxa"/>
      </w:tblCellMar>
    </w:tblPr>
  </w:style>
  <w:style w:type="table" w:styleId="af3" w:customStyle="1">
    <w:basedOn w:val="TableNormal3"/>
    <w:pPr>
      <w:spacing w:after="0" w:line="240" w:lineRule="auto"/>
    </w:pPr>
    <w:tblPr>
      <w:tblStyleRowBandSize w:val="1"/>
      <w:tblStyleColBandSize w:val="1"/>
      <w:tblCellMar>
        <w:top w:w="0.0" w:type="dxa"/>
        <w:left w:w="108.0" w:type="dxa"/>
        <w:bottom w:w="0.0" w:type="dxa"/>
        <w:right w:w="108.0" w:type="dxa"/>
      </w:tblCellMar>
    </w:tblPr>
  </w:style>
  <w:style w:type="table" w:styleId="af4" w:customStyle="1">
    <w:basedOn w:val="TableNormal3"/>
    <w:pPr>
      <w:spacing w:after="0" w:line="240" w:lineRule="auto"/>
    </w:pPr>
    <w:tblPr>
      <w:tblStyleRowBandSize w:val="1"/>
      <w:tblStyleColBandSize w:val="1"/>
      <w:tblCellMar>
        <w:top w:w="0.0" w:type="dxa"/>
        <w:left w:w="108.0" w:type="dxa"/>
        <w:bottom w:w="0.0" w:type="dxa"/>
        <w:right w:w="108.0" w:type="dxa"/>
      </w:tblCellMar>
    </w:tblPr>
  </w:style>
  <w:style w:type="table" w:styleId="af5" w:customStyle="1">
    <w:basedOn w:val="TableNormal3"/>
    <w:pPr>
      <w:spacing w:after="0" w:line="240" w:lineRule="auto"/>
    </w:pPr>
    <w:tblPr>
      <w:tblStyleRowBandSize w:val="1"/>
      <w:tblStyleColBandSize w:val="1"/>
      <w:tblCellMar>
        <w:top w:w="0.0" w:type="dxa"/>
        <w:left w:w="108.0" w:type="dxa"/>
        <w:bottom w:w="0.0" w:type="dxa"/>
        <w:right w:w="108.0" w:type="dxa"/>
      </w:tblCellMar>
    </w:tblPr>
  </w:style>
  <w:style w:type="table" w:styleId="af6" w:customStyle="1">
    <w:basedOn w:val="TableNormal3"/>
    <w:pPr>
      <w:spacing w:after="0" w:line="240" w:lineRule="auto"/>
    </w:pPr>
    <w:tblPr>
      <w:tblStyleRowBandSize w:val="1"/>
      <w:tblStyleColBandSize w:val="1"/>
      <w:tblCellMar>
        <w:top w:w="0.0" w:type="dxa"/>
        <w:left w:w="108.0" w:type="dxa"/>
        <w:bottom w:w="0.0" w:type="dxa"/>
        <w:right w:w="108.0" w:type="dxa"/>
      </w:tblCellMar>
    </w:tblPr>
  </w:style>
  <w:style w:type="table" w:styleId="af7" w:customStyle="1">
    <w:basedOn w:val="TableNormal3"/>
    <w:pPr>
      <w:spacing w:after="0" w:line="240" w:lineRule="auto"/>
    </w:pPr>
    <w:tblPr>
      <w:tblStyleRowBandSize w:val="1"/>
      <w:tblStyleColBandSize w:val="1"/>
      <w:tblCellMar>
        <w:top w:w="0.0" w:type="dxa"/>
        <w:left w:w="108.0" w:type="dxa"/>
        <w:bottom w:w="0.0" w:type="dxa"/>
        <w:right w:w="108.0" w:type="dxa"/>
      </w:tblCellMar>
    </w:tblPr>
  </w:style>
  <w:style w:type="table" w:styleId="af8"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f9"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LChM5jJhNUx4XlDOZXx++qEVwQ==">CgMxLjAyDmgucDl0ZG5ldXhwMThuMg5oLnl1ZzBtZ2d3N3ZtejgAajQKFHN1Z2dlc3QuZHgwZWR1OW0wejM5EhxKVUxJQU4gRkVMSVBFIEhFUlJFUkEgQ0FTVFJPajQKFHN1Z2dlc3Qud3h3NG03aXRzeXdxEhxKVUxJQU4gRkVMSVBFIEhFUlJFUkEgQ0FTVFJPajQKFHN1Z2dlc3QuOTdnMGp4aTBvb3BpEhxKVUxJQU4gRkVMSVBFIEhFUlJFUkEgQ0FTVFJPajQKFHN1Z2dlc3QubDQ2MnJ5bzZ6emw1EhxKVUxJQU4gRkVMSVBFIEhFUlJFUkEgQ0FTVFJPajMKE3N1Z2dlc3QudXViNjBxeTBhZmMSHEpVTElBTiBGRUxJUEUgSEVSUkVSQSBDQVNUUk9yITFrbm8tWWpPd0RFWUJEbzVCbVRNY0xUbm82azNyUWhu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2025-10-27T13:53:00Z</dcterms:created>
  <dc:creator>Cristian Camilo Moroy Ortiz</dc:creator>
</cp:coreProperties>
</file>